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0D51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D20D51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247"/>
        <w:gridCol w:w="180"/>
        <w:gridCol w:w="821"/>
        <w:gridCol w:w="180"/>
        <w:gridCol w:w="4548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02.05.2019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1-ПЗ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Семиряжко Євгенiй Анатолiйович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D20D51">
      <w:pPr>
        <w:rPr>
          <w:rFonts w:eastAsia="Times New Roman"/>
          <w:color w:val="000000"/>
        </w:rPr>
      </w:pPr>
    </w:p>
    <w:p w:rsidR="00000000" w:rsidRDefault="00D20D5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D20D5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"Спецбудмаш"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</w:t>
            </w:r>
            <w:r>
              <w:rPr>
                <w:rFonts w:eastAsia="Times New Roman"/>
                <w:color w:val="000000"/>
              </w:rPr>
              <w:t>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07400, Київська обл., м. Бровари, вул. Сiчових Стрiльцiв, 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01354485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(04594) 5-30-16 (04594) 5-30-16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office@sbm-503.com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</w:t>
            </w:r>
            <w:r>
              <w:rPr>
                <w:rFonts w:eastAsia="Times New Roman"/>
                <w:color w:val="000000"/>
              </w:rPr>
              <w:t>у, особи, яка здійснює оприлюднення регульованої інформації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 "АРIФРУ"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D20D51">
      <w:pPr>
        <w:rPr>
          <w:rFonts w:eastAsia="Times New Roman"/>
          <w:color w:val="000000"/>
        </w:rPr>
      </w:pPr>
    </w:p>
    <w:p w:rsidR="00000000" w:rsidRDefault="00D20D5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4"/>
        <w:gridCol w:w="2601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http://www.sbm-503.com.ua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02.05.2019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D20D51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D20D5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Відомості про прийняття рішення про попереднє надання згоди на вчинення значних правочинів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995"/>
        <w:gridCol w:w="2995"/>
        <w:gridCol w:w="3744"/>
        <w:gridCol w:w="4493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Гранична сукупна вартість правочинів (тис. грн)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Співвідношення граничної сукупності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347.055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20D51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 прийняття загальними зборами приватного акцiонерного товариства рiшення про попереднє надання згоди на вчинення значних правочинiв - 26.04.2019;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вiдомостi щодо правочинiв iз зазначенням, зокрема, їх характеру:</w:t>
            </w:r>
            <w:r>
              <w:rPr>
                <w:rFonts w:eastAsia="Times New Roman"/>
                <w:color w:val="000000"/>
              </w:rPr>
              <w:br/>
              <w:t>щодо будь-яких напрямкiв дiяльностi Товариства;</w:t>
            </w:r>
            <w:r>
              <w:rPr>
                <w:rFonts w:eastAsia="Times New Roman"/>
                <w:color w:val="000000"/>
              </w:rPr>
              <w:br/>
              <w:t xml:space="preserve">гранична сукупнiсть вартостi правочинiв - 750 000 тис.грн.; </w:t>
            </w:r>
            <w:r>
              <w:rPr>
                <w:rFonts w:eastAsia="Times New Roman"/>
                <w:color w:val="000000"/>
              </w:rPr>
              <w:br/>
              <w:t>вартiсть активiв емiтента за даними останньої рiчної фiнансової звiтностi - 216104</w:t>
            </w:r>
            <w:r>
              <w:rPr>
                <w:rFonts w:eastAsia="Times New Roman"/>
                <w:color w:val="000000"/>
              </w:rPr>
              <w:t xml:space="preserve"> тис.грн.; </w:t>
            </w:r>
            <w:r>
              <w:rPr>
                <w:rFonts w:eastAsia="Times New Roman"/>
                <w:color w:val="000000"/>
              </w:rPr>
              <w:br/>
              <w:t xml:space="preserve">спiввiдношення граничної сукупностi вартостi правочинiв до вартостi активiв емiтента за даними останньої рiчної фiнансової звiтностi (у вiдсотках) – 347,055%; </w:t>
            </w:r>
            <w:r>
              <w:rPr>
                <w:rFonts w:eastAsia="Times New Roman"/>
                <w:color w:val="000000"/>
              </w:rPr>
              <w:br/>
              <w:t>загальна кiлькiсть голосуючих акцiй - 16 480 445 шт., кiлькiсть голосуючих акцiй, що</w:t>
            </w:r>
            <w:r>
              <w:rPr>
                <w:rFonts w:eastAsia="Times New Roman"/>
                <w:color w:val="000000"/>
              </w:rPr>
              <w:t xml:space="preserve"> зареєстрованi для участi у загальних зборах 16 388 922 шт., кiлькiсть голосуючих акцiй, що проголосували "за" та "проти" прийняття рiшення: "за" -16 388 922 шт., "проти" - 0 шт.</w:t>
            </w:r>
          </w:p>
        </w:tc>
      </w:tr>
    </w:tbl>
    <w:p w:rsidR="00D20D51" w:rsidRDefault="00D20D51">
      <w:pPr>
        <w:rPr>
          <w:rFonts w:eastAsia="Times New Roman"/>
        </w:rPr>
      </w:pPr>
    </w:p>
    <w:sectPr w:rsidR="00D20D51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62CE"/>
    <w:rsid w:val="000C62CE"/>
    <w:rsid w:val="00D2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2019-04-27T10:49:00Z</dcterms:created>
  <dcterms:modified xsi:type="dcterms:W3CDTF">2019-04-27T10:49:00Z</dcterms:modified>
</cp:coreProperties>
</file>